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text" w:tblpX="6273" w:tblpY="15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260"/>
        <w:gridCol w:w="2250"/>
      </w:tblGrid>
      <w:tr>
        <w:trPr>
          <w:trHeight w:val="372"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宛名番号</w:t>
            </w:r>
          </w:p>
        </w:tc>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rPr>
          <w:rFonts w:hint="eastAsia"/>
        </w:rPr>
      </w:pPr>
      <w:r>
        <w:rPr>
          <w:rFonts w:hint="eastAsia"/>
        </w:rPr>
        <mc:AlternateContent>
          <mc:Choice Requires="wps">
            <w:drawing>
              <wp:anchor distT="0" distB="0" distL="71755" distR="71755" simplePos="0" relativeHeight="50" behindDoc="0" locked="0" layoutInCell="1" hidden="0" allowOverlap="1">
                <wp:simplePos x="0" y="0"/>
                <wp:positionH relativeFrom="column">
                  <wp:posOffset>388620</wp:posOffset>
                </wp:positionH>
                <wp:positionV relativeFrom="paragraph">
                  <wp:posOffset>-63500</wp:posOffset>
                </wp:positionV>
                <wp:extent cx="6141720" cy="3970020"/>
                <wp:effectExtent l="0" t="0" r="635" b="49720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41720" cy="3970020"/>
                        </a:xfrm>
                        <a:prstGeom prst="wedgeRectCallout"/>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AR Pゴシック体S" w:hAnsi="AR Pゴシック体S" w:eastAsia="AR Pゴシック体S"/>
                                <w:vanish w:val="1"/>
                                <w:color w:val="C00000"/>
                                <w:sz w:val="72"/>
                              </w:rPr>
                            </w:pPr>
                            <w:r>
                              <w:rPr>
                                <w:rFonts w:hint="eastAsia" w:ascii="AR Pゴシック体S" w:hAnsi="AR Pゴシック体S" w:eastAsia="AR Pゴシック体S"/>
                                <w:vanish w:val="1"/>
                                <w:color w:val="C00000"/>
                                <w:sz w:val="72"/>
                              </w:rPr>
                              <w:t>都度、両面印刷に設定してください（この文字は印刷されないよ）</w:t>
                            </w:r>
                          </w:p>
                        </w:txbxContent>
                      </wps:txbx>
                      <wps:bodyPr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style="mso-wrap-distance-right:5.65pt;mso-wrap-distance-bottom:0pt;margin-top:-5pt;mso-position-vertical-relative:text;mso-position-horizontal-relative:text;v-text-anchor:middle;position:absolute;height:312.60000000000002pt;mso-wrap-distance-top:0pt;width:483.6pt;mso-wrap-distance-left:5.65pt;margin-left:30.6pt;z-index:50;" o:allowincell="t" o:allowoverlap="t" filled="f" stroked="f" strokecolor="#ffffff" strokeweight="2pt" o:spt="61" type="#_x0000_t61" adj="6300,24300">
                <v:fill/>
                <v:stroke linestyle="single" endcap="flat" dashstyle="solid"/>
                <v:textbox style="layout-flow:horizontal;">
                  <w:txbxContent>
                    <w:p>
                      <w:pPr>
                        <w:pStyle w:val="0"/>
                        <w:rPr>
                          <w:rFonts w:hint="eastAsia" w:ascii="AR Pゴシック体S" w:hAnsi="AR Pゴシック体S" w:eastAsia="AR Pゴシック体S"/>
                          <w:vanish w:val="1"/>
                          <w:color w:val="C00000"/>
                          <w:sz w:val="72"/>
                        </w:rPr>
                      </w:pPr>
                      <w:r>
                        <w:rPr>
                          <w:rFonts w:hint="eastAsia" w:ascii="AR Pゴシック体S" w:hAnsi="AR Pゴシック体S" w:eastAsia="AR Pゴシック体S"/>
                          <w:vanish w:val="1"/>
                          <w:color w:val="C00000"/>
                          <w:sz w:val="72"/>
                        </w:rPr>
                        <w:t>都度、両面印刷に設定してください（この文字は印刷されないよ）</w:t>
                      </w:r>
                    </w:p>
                  </w:txbxContent>
                </v:textbox>
                <v:imagedata o:title=""/>
                <w10:wrap type="none" anchorx="text" anchory="text"/>
              </v:shape>
            </w:pict>
          </mc:Fallback>
        </mc:AlternateContent>
      </w:r>
      <w:r>
        <w:rPr>
          <w:rFonts w:hint="eastAsia"/>
        </w:rPr>
        <w:t>取手市長宛て</w:t>
      </w:r>
    </w:p>
    <w:p>
      <w:pPr>
        <w:pStyle w:val="0"/>
        <w:rPr>
          <w:rFonts w:hint="eastAsia"/>
        </w:rPr>
      </w:pPr>
      <w:r>
        <w:rPr>
          <w:rFonts w:hint="eastAsia"/>
        </w:rPr>
        <w:t>令和　　年　　月　　日</w:t>
      </w:r>
    </w:p>
    <w:p>
      <w:pPr>
        <w:pStyle w:val="0"/>
        <w:rPr>
          <w:rFonts w:hint="eastAsia"/>
        </w:rPr>
      </w:pPr>
    </w:p>
    <w:p>
      <w:pPr>
        <w:pStyle w:val="0"/>
        <w:spacing w:line="100" w:lineRule="atLeast"/>
        <w:jc w:val="center"/>
        <w:rPr>
          <w:rFonts w:hint="eastAsia"/>
          <w:sz w:val="32"/>
        </w:rPr>
      </w:pPr>
      <w:r>
        <w:rPr>
          <w:rFonts w:hint="eastAsia"/>
          <w:sz w:val="32"/>
        </w:rPr>
        <w:t>令和　　年度　市民税・県民税申告書付表</w:t>
      </w:r>
    </w:p>
    <w:p>
      <w:pPr>
        <w:pStyle w:val="0"/>
        <w:spacing w:line="100" w:lineRule="atLeast"/>
        <w:jc w:val="center"/>
        <w:rPr>
          <w:rFonts w:hint="eastAsia"/>
        </w:rPr>
      </w:pPr>
      <w:r>
        <w:rPr>
          <w:rFonts w:hint="eastAsia"/>
        </w:rPr>
        <w:t>（上場株式等に係る配当所得等及び譲渡所得等の課税方式選択用）</w:t>
      </w:r>
    </w:p>
    <w:tbl>
      <w:tblPr>
        <w:tblStyle w:val="17"/>
        <w:tblpPr w:leftFromText="0" w:rightFromText="0" w:topFromText="0" w:bottomFromText="0" w:vertAnchor="text" w:horzAnchor="margin" w:tblpX="80" w:tblpY="336"/>
        <w:tblOverlap w:val="never"/>
        <w:tblW w:w="0" w:type="auto"/>
        <w:tblLayout w:type="fixed"/>
        <w:tblLook w:firstRow="1" w:lastRow="0" w:firstColumn="1" w:lastColumn="0" w:noHBand="0" w:noVBand="1" w:val="04A0"/>
      </w:tblPr>
      <w:tblGrid>
        <w:gridCol w:w="5304"/>
        <w:gridCol w:w="4986"/>
      </w:tblGrid>
      <w:tr>
        <w:trPr>
          <w:trHeight w:val="540" w:hRule="atLeast"/>
        </w:trPr>
        <w:tc>
          <w:tcPr>
            <w:tcW w:w="5304" w:type="dxa"/>
            <w:vMerge w:val="restart"/>
            <w:vAlign w:val="top"/>
          </w:tcPr>
          <w:p>
            <w:pPr>
              <w:pStyle w:val="0"/>
              <w:tabs>
                <w:tab w:val="left" w:leader="none" w:pos="2955"/>
              </w:tabs>
              <w:spacing w:line="240" w:lineRule="auto"/>
              <w:rPr>
                <w:rFonts w:hint="eastAsia"/>
                <w:sz w:val="32"/>
              </w:rPr>
            </w:pPr>
            <w:r>
              <w:rPr>
                <w:rFonts w:hint="eastAsia"/>
              </w:rPr>
              <w:t>現住所</w:t>
            </w:r>
          </w:p>
          <w:p>
            <w:pPr>
              <w:pStyle w:val="0"/>
              <w:tabs>
                <w:tab w:val="left" w:leader="none" w:pos="2955"/>
              </w:tabs>
              <w:spacing w:line="240" w:lineRule="auto"/>
              <w:rPr>
                <w:rFonts w:hint="eastAsia"/>
                <w:sz w:val="21"/>
              </w:rPr>
            </w:pPr>
          </w:p>
          <w:p>
            <w:pPr>
              <w:pStyle w:val="0"/>
              <w:tabs>
                <w:tab w:val="left" w:leader="none" w:pos="2955"/>
              </w:tabs>
              <w:spacing w:line="240" w:lineRule="auto"/>
              <w:rPr>
                <w:rFonts w:hint="eastAsia"/>
              </w:rPr>
            </w:pPr>
            <w:r>
              <w:rPr>
                <w:rFonts w:hint="eastAsia"/>
              </w:rPr>
              <w:t>１月１日現在の住所</w:t>
            </w:r>
          </w:p>
          <w:p>
            <w:pPr>
              <w:pStyle w:val="0"/>
              <w:tabs>
                <w:tab w:val="left" w:leader="none" w:pos="2955"/>
              </w:tabs>
              <w:spacing w:line="240" w:lineRule="auto"/>
              <w:rPr>
                <w:rFonts w:hint="eastAsia"/>
              </w:rPr>
            </w:pPr>
            <w:r>
              <w:rPr>
                <w:rFonts w:hint="eastAsia"/>
                <w:sz w:val="21"/>
              </w:rPr>
              <w:t>〔　　　　　　　　　　　　　　　　　　　　　　〕</w:t>
            </w:r>
          </w:p>
        </w:tc>
        <w:tc>
          <w:tcPr>
            <w:tcW w:w="4986" w:type="dxa"/>
            <w:vAlign w:val="top"/>
          </w:tcPr>
          <w:p>
            <w:pPr>
              <w:pStyle w:val="0"/>
              <w:rPr>
                <w:rFonts w:hint="eastAsia"/>
              </w:rPr>
            </w:pPr>
            <w:r>
              <w:rPr>
                <w:rFonts w:hint="eastAsia"/>
              </w:rPr>
              <w:t>フリガナ</w:t>
            </w:r>
          </w:p>
        </w:tc>
      </w:tr>
      <w:tr>
        <w:trPr>
          <w:trHeight w:val="1070" w:hRule="atLeast"/>
        </w:trPr>
        <w:tc>
          <w:tcPr>
            <w:tcW w:w="5304" w:type="dxa"/>
            <w:vMerge w:val="continue"/>
            <w:vAlign w:val="top"/>
          </w:tcPr>
          <w:p>
            <w:pPr>
              <w:pStyle w:val="0"/>
              <w:rPr>
                <w:rFonts w:hint="eastAsia"/>
              </w:rPr>
            </w:pPr>
          </w:p>
        </w:tc>
        <w:tc>
          <w:tcPr>
            <w:tcW w:w="4986" w:type="dxa"/>
            <w:vAlign w:val="top"/>
          </w:tcPr>
          <w:p>
            <w:pPr>
              <w:pStyle w:val="0"/>
              <w:rPr>
                <w:rFonts w:hint="eastAsia"/>
              </w:rPr>
            </w:pPr>
            <w:r>
              <w:rPr>
                <w:rFonts w:hint="eastAsia"/>
              </w:rPr>
              <w:t>氏名</w:t>
            </w:r>
          </w:p>
        </w:tc>
      </w:tr>
    </w:tbl>
    <w:p>
      <w:pPr>
        <w:pStyle w:val="0"/>
        <w:spacing w:line="100" w:lineRule="atLeast"/>
        <w:jc w:val="center"/>
        <w:rPr>
          <w:rFonts w:hint="eastAsia"/>
        </w:rPr>
      </w:pPr>
    </w:p>
    <w:p>
      <w:pPr>
        <w:pStyle w:val="0"/>
        <w:rPr>
          <w:rFonts w:hint="eastAsia"/>
        </w:rPr>
      </w:pPr>
      <w:r>
        <w:rPr>
          <w:rFonts w:hint="eastAsia"/>
        </w:rPr>
        <w:t>１　確定申告した上場株式等の配当・譲渡所得等</w:t>
      </w:r>
    </w:p>
    <w:tbl>
      <w:tblPr>
        <w:tblStyle w:val="17"/>
        <w:tblW w:w="0" w:type="auto"/>
        <w:jc w:val="center"/>
        <w:tblInd w:w="0" w:type="dxa"/>
        <w:tblLayout w:type="fixed"/>
        <w:tblLook w:firstRow="1" w:lastRow="0" w:firstColumn="1" w:lastColumn="0" w:noHBand="0" w:noVBand="1" w:val="04A0"/>
      </w:tblPr>
      <w:tblGrid>
        <w:gridCol w:w="2580"/>
        <w:gridCol w:w="1620"/>
        <w:gridCol w:w="2520"/>
        <w:gridCol w:w="2727"/>
      </w:tblGrid>
      <w:tr>
        <w:trPr>
          <w:trHeight w:val="454" w:hRule="atLeast"/>
        </w:trPr>
        <w:tc>
          <w:tcPr>
            <w:tcW w:w="67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確定申告した上場株式等の所得</w:t>
            </w:r>
          </w:p>
        </w:tc>
        <w:tc>
          <w:tcPr>
            <w:tcW w:w="2727" w:type="dxa"/>
            <w:vAlign w:val="center"/>
          </w:tcPr>
          <w:p>
            <w:pPr>
              <w:pStyle w:val="0"/>
              <w:jc w:val="center"/>
              <w:rPr>
                <w:rFonts w:hint="eastAsia"/>
              </w:rPr>
            </w:pPr>
            <w:r>
              <w:rPr>
                <w:rFonts w:hint="eastAsia"/>
              </w:rPr>
              <w:t>住民税の源泉徴収税額※</w:t>
            </w:r>
          </w:p>
        </w:tc>
      </w:tr>
      <w:tr>
        <w:trPr>
          <w:trHeight w:val="454" w:hRule="atLeast"/>
        </w:trPr>
        <w:tc>
          <w:tcPr>
            <w:tcW w:w="2580" w:type="dxa"/>
            <w:vMerge w:val="restart"/>
            <w:vAlign w:val="center"/>
          </w:tcPr>
          <w:p>
            <w:pPr>
              <w:pStyle w:val="0"/>
              <w:jc w:val="center"/>
              <w:rPr>
                <w:rFonts w:hint="eastAsia"/>
              </w:rPr>
            </w:pPr>
            <w:r>
              <w:rPr>
                <w:rFonts w:hint="eastAsia"/>
              </w:rPr>
              <w:t>上場株式等の配当所得等</w:t>
            </w:r>
          </w:p>
        </w:tc>
        <w:tc>
          <w:tcPr>
            <w:tcW w:w="1620" w:type="dxa"/>
            <w:vAlign w:val="center"/>
          </w:tcPr>
          <w:p>
            <w:pPr>
              <w:pStyle w:val="0"/>
              <w:jc w:val="center"/>
              <w:rPr>
                <w:rFonts w:hint="eastAsia"/>
              </w:rPr>
            </w:pPr>
            <w:r>
              <w:rPr>
                <w:rFonts w:hint="eastAsia"/>
              </w:rPr>
              <w:t>総合課税分</w:t>
            </w:r>
          </w:p>
        </w:tc>
        <w:tc>
          <w:tcPr>
            <w:tcW w:w="2520" w:type="dxa"/>
            <w:vAlign w:val="center"/>
          </w:tcPr>
          <w:p>
            <w:pPr>
              <w:pStyle w:val="0"/>
              <w:jc w:val="right"/>
              <w:rPr>
                <w:rFonts w:hint="eastAsia"/>
              </w:rPr>
            </w:pPr>
            <w:r>
              <w:rPr>
                <w:rFonts w:hint="eastAsia"/>
              </w:rPr>
              <w:t>円</w:t>
            </w:r>
          </w:p>
        </w:tc>
        <w:tc>
          <w:tcPr>
            <w:tcW w:w="2727" w:type="dxa"/>
            <w:vAlign w:val="center"/>
          </w:tcPr>
          <w:p>
            <w:pPr>
              <w:pStyle w:val="0"/>
              <w:jc w:val="right"/>
              <w:rPr>
                <w:rFonts w:hint="eastAsia"/>
              </w:rPr>
            </w:pPr>
            <w:r>
              <w:rPr>
                <w:rFonts w:hint="eastAsia"/>
              </w:rPr>
              <w:t>円</w:t>
            </w:r>
          </w:p>
        </w:tc>
      </w:tr>
      <w:tr>
        <w:trPr>
          <w:trHeight w:val="454" w:hRule="atLeast"/>
        </w:trPr>
        <w:tc>
          <w:tcPr>
            <w:tcW w:w="2580" w:type="dxa"/>
            <w:vMerge w:val="continue"/>
            <w:vAlign w:val="center"/>
          </w:tcPr>
          <w:p>
            <w:pPr>
              <w:pStyle w:val="0"/>
              <w:rPr>
                <w:rFonts w:hint="eastAsia"/>
              </w:rPr>
            </w:pPr>
          </w:p>
        </w:tc>
        <w:tc>
          <w:tcPr>
            <w:tcW w:w="16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分離課税分</w:t>
            </w:r>
          </w:p>
        </w:tc>
        <w:tc>
          <w:tcPr>
            <w:tcW w:w="25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円</w:t>
            </w:r>
          </w:p>
        </w:tc>
        <w:tc>
          <w:tcPr>
            <w:tcW w:w="2727" w:type="dxa"/>
            <w:vAlign w:val="center"/>
          </w:tcPr>
          <w:p>
            <w:pPr>
              <w:pStyle w:val="0"/>
              <w:jc w:val="right"/>
              <w:rPr>
                <w:rFonts w:hint="eastAsia"/>
              </w:rPr>
            </w:pPr>
            <w:r>
              <w:rPr>
                <w:rFonts w:hint="eastAsia"/>
              </w:rPr>
              <w:t>円</w:t>
            </w:r>
          </w:p>
        </w:tc>
      </w:tr>
      <w:tr>
        <w:trPr>
          <w:trHeight w:val="454" w:hRule="atLeast"/>
        </w:trPr>
        <w:tc>
          <w:tcPr>
            <w:tcW w:w="42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上場株式等の譲渡所得等</w:t>
            </w:r>
          </w:p>
        </w:tc>
        <w:tc>
          <w:tcPr>
            <w:tcW w:w="25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円</w:t>
            </w:r>
          </w:p>
        </w:tc>
        <w:tc>
          <w:tcPr>
            <w:tcW w:w="2727" w:type="dxa"/>
            <w:vAlign w:val="center"/>
          </w:tcPr>
          <w:p>
            <w:pPr>
              <w:pStyle w:val="0"/>
              <w:jc w:val="right"/>
              <w:rPr>
                <w:rFonts w:hint="eastAsia"/>
              </w:rPr>
            </w:pPr>
            <w:r>
              <w:rPr>
                <w:rFonts w:hint="eastAsia"/>
              </w:rPr>
              <w:t>円</w:t>
            </w:r>
          </w:p>
        </w:tc>
      </w:tr>
    </w:tbl>
    <w:p>
      <w:pPr>
        <w:pStyle w:val="0"/>
        <w:rPr>
          <w:rFonts w:hint="eastAsia"/>
        </w:rPr>
      </w:pPr>
      <w:r>
        <w:rPr>
          <w:rFonts w:hint="eastAsia"/>
        </w:rPr>
        <w:t>　　対象となる上場株式等の配当所得等及び譲渡所得等については、所得税</w:t>
      </w:r>
      <w:r>
        <w:rPr>
          <w:rFonts w:hint="eastAsia"/>
        </w:rPr>
        <w:t>15.315</w:t>
      </w:r>
      <w:r>
        <w:rPr>
          <w:rFonts w:hint="eastAsia"/>
        </w:rPr>
        <w:t>％（復興特別所得税分含む）</w:t>
      </w:r>
    </w:p>
    <w:p>
      <w:pPr>
        <w:pStyle w:val="0"/>
        <w:ind w:firstLine="420" w:firstLineChars="200"/>
        <w:rPr>
          <w:rFonts w:hint="eastAsia"/>
        </w:rPr>
      </w:pPr>
      <w:r>
        <w:rPr>
          <w:rFonts w:hint="eastAsia"/>
        </w:rPr>
        <w:t>と住民税</w:t>
      </w:r>
      <w:r>
        <w:rPr>
          <w:rFonts w:hint="eastAsia"/>
        </w:rPr>
        <w:t>5</w:t>
      </w:r>
      <w:r>
        <w:rPr>
          <w:rFonts w:hint="eastAsia"/>
        </w:rPr>
        <w:t>％の合計</w:t>
      </w:r>
      <w:r>
        <w:rPr>
          <w:rFonts w:hint="eastAsia"/>
        </w:rPr>
        <w:t>20.315</w:t>
      </w:r>
      <w:r>
        <w:rPr>
          <w:rFonts w:hint="eastAsia"/>
        </w:rPr>
        <w:t>％の税率であらかじめ源泉徴収（特別徴収）されているものとなります。</w:t>
      </w:r>
    </w:p>
    <w:p>
      <w:pPr>
        <w:pStyle w:val="0"/>
        <w:ind w:firstLine="210" w:firstLineChars="100"/>
        <w:rPr>
          <w:rFonts w:hint="eastAsia"/>
        </w:rPr>
      </w:pPr>
      <w:bookmarkStart w:id="0" w:name="_GoBack"/>
      <w:bookmarkEnd w:id="0"/>
    </w:p>
    <w:p>
      <w:pPr>
        <w:pStyle w:val="0"/>
        <w:rPr>
          <w:rFonts w:hint="eastAsia"/>
        </w:rPr>
      </w:pPr>
      <w:r>
        <w:rPr>
          <w:rFonts w:hint="eastAsia"/>
        </w:rPr>
        <w:t>２　住民税での申告について（申告する番号の□に✔してください。）</w:t>
      </w:r>
    </w:p>
    <w:p>
      <w:pPr>
        <w:pStyle w:val="0"/>
        <w:spacing w:line="360" w:lineRule="auto"/>
        <w:ind w:left="0" w:leftChars="0" w:firstLine="210" w:firstLineChars="100"/>
        <w:rPr>
          <w:rFonts w:hint="eastAsia"/>
        </w:rPr>
      </w:pPr>
      <w:r>
        <w:rPr>
          <w:rFonts w:hint="eastAsia"/>
        </w:rPr>
        <w:t>□①上記の確定申告した上場株式等の所得について、住民税では申告しません。</w:t>
      </w:r>
    </w:p>
    <w:p>
      <w:pPr>
        <w:pStyle w:val="0"/>
        <w:spacing w:line="360" w:lineRule="auto"/>
        <w:ind w:left="0" w:leftChars="0" w:firstLine="210" w:firstLineChars="100"/>
        <w:rPr>
          <w:rFonts w:hint="eastAsia"/>
        </w:rPr>
      </w:pPr>
      <w:r>
        <w:rPr>
          <w:rFonts w:hint="eastAsia"/>
        </w:rPr>
        <w:t>□②上記の確定申告した上場株式等の所得について、住民税では下記の所得とします。</w:t>
      </w:r>
    </w:p>
    <w:tbl>
      <w:tblPr>
        <w:tblStyle w:val="17"/>
        <w:tblW w:w="0" w:type="auto"/>
        <w:jc w:val="center"/>
        <w:tblInd w:w="0" w:type="dxa"/>
        <w:tblLayout w:type="fixed"/>
        <w:tblLook w:firstRow="1" w:lastRow="0" w:firstColumn="1" w:lastColumn="0" w:noHBand="0" w:noVBand="1" w:val="04A0"/>
      </w:tblPr>
      <w:tblGrid>
        <w:gridCol w:w="2580"/>
        <w:gridCol w:w="1620"/>
        <w:gridCol w:w="2520"/>
        <w:gridCol w:w="2727"/>
      </w:tblGrid>
      <w:tr>
        <w:trPr>
          <w:trHeight w:val="454" w:hRule="atLeast"/>
        </w:trPr>
        <w:tc>
          <w:tcPr>
            <w:tcW w:w="67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住民税で申告する上場株式等の所得</w:t>
            </w:r>
          </w:p>
        </w:tc>
        <w:tc>
          <w:tcPr>
            <w:tcW w:w="2727" w:type="dxa"/>
            <w:vAlign w:val="center"/>
          </w:tcPr>
          <w:p>
            <w:pPr>
              <w:pStyle w:val="0"/>
              <w:jc w:val="center"/>
              <w:rPr>
                <w:rFonts w:hint="eastAsia"/>
              </w:rPr>
            </w:pPr>
            <w:r>
              <w:rPr>
                <w:rFonts w:hint="eastAsia"/>
              </w:rPr>
              <w:t>住民税の源泉徴収税額※</w:t>
            </w:r>
          </w:p>
        </w:tc>
      </w:tr>
      <w:tr>
        <w:trPr>
          <w:trHeight w:val="454" w:hRule="atLeast"/>
        </w:trPr>
        <w:tc>
          <w:tcPr>
            <w:tcW w:w="2580" w:type="dxa"/>
            <w:vMerge w:val="restart"/>
            <w:vAlign w:val="center"/>
          </w:tcPr>
          <w:p>
            <w:pPr>
              <w:pStyle w:val="0"/>
              <w:jc w:val="center"/>
              <w:rPr>
                <w:rFonts w:hint="eastAsia"/>
              </w:rPr>
            </w:pPr>
            <w:r>
              <w:rPr>
                <w:rFonts w:hint="eastAsia"/>
              </w:rPr>
              <w:t>上場株式等の配当所得等</w:t>
            </w:r>
          </w:p>
        </w:tc>
        <w:tc>
          <w:tcPr>
            <w:tcW w:w="1620" w:type="dxa"/>
            <w:vAlign w:val="center"/>
          </w:tcPr>
          <w:p>
            <w:pPr>
              <w:pStyle w:val="0"/>
              <w:jc w:val="center"/>
              <w:rPr>
                <w:rFonts w:hint="eastAsia"/>
              </w:rPr>
            </w:pPr>
            <w:r>
              <w:rPr>
                <w:rFonts w:hint="eastAsia"/>
              </w:rPr>
              <w:t>総合課税分</w:t>
            </w:r>
          </w:p>
        </w:tc>
        <w:tc>
          <w:tcPr>
            <w:tcW w:w="2520" w:type="dxa"/>
            <w:vAlign w:val="center"/>
          </w:tcPr>
          <w:p>
            <w:pPr>
              <w:pStyle w:val="0"/>
              <w:jc w:val="right"/>
              <w:rPr>
                <w:rFonts w:hint="eastAsia"/>
              </w:rPr>
            </w:pPr>
            <w:r>
              <w:rPr>
                <w:rFonts w:hint="eastAsia"/>
              </w:rPr>
              <w:t>円</w:t>
            </w:r>
          </w:p>
        </w:tc>
        <w:tc>
          <w:tcPr>
            <w:tcW w:w="2727" w:type="dxa"/>
            <w:vAlign w:val="center"/>
          </w:tcPr>
          <w:p>
            <w:pPr>
              <w:pStyle w:val="0"/>
              <w:jc w:val="right"/>
              <w:rPr>
                <w:rFonts w:hint="eastAsia"/>
              </w:rPr>
            </w:pPr>
            <w:r>
              <w:rPr>
                <w:rFonts w:hint="eastAsia"/>
              </w:rPr>
              <w:t>円</w:t>
            </w:r>
          </w:p>
        </w:tc>
      </w:tr>
      <w:tr>
        <w:trPr>
          <w:trHeight w:val="454" w:hRule="atLeast"/>
        </w:trPr>
        <w:tc>
          <w:tcPr>
            <w:tcW w:w="2580" w:type="dxa"/>
            <w:vMerge w:val="continue"/>
            <w:vAlign w:val="center"/>
          </w:tcPr>
          <w:p>
            <w:pPr>
              <w:pStyle w:val="0"/>
              <w:rPr>
                <w:rFonts w:hint="eastAsia"/>
              </w:rPr>
            </w:pPr>
          </w:p>
        </w:tc>
        <w:tc>
          <w:tcPr>
            <w:tcW w:w="16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分離課税分</w:t>
            </w:r>
          </w:p>
        </w:tc>
        <w:tc>
          <w:tcPr>
            <w:tcW w:w="25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円</w:t>
            </w:r>
          </w:p>
        </w:tc>
        <w:tc>
          <w:tcPr>
            <w:tcW w:w="2727" w:type="dxa"/>
            <w:vAlign w:val="center"/>
          </w:tcPr>
          <w:p>
            <w:pPr>
              <w:pStyle w:val="0"/>
              <w:jc w:val="right"/>
              <w:rPr>
                <w:rFonts w:hint="eastAsia"/>
              </w:rPr>
            </w:pPr>
            <w:r>
              <w:rPr>
                <w:rFonts w:hint="eastAsia"/>
              </w:rPr>
              <w:t>円</w:t>
            </w:r>
          </w:p>
        </w:tc>
      </w:tr>
      <w:tr>
        <w:trPr>
          <w:trHeight w:val="454" w:hRule="atLeast"/>
        </w:trPr>
        <w:tc>
          <w:tcPr>
            <w:tcW w:w="42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上場株式等の譲渡所得等</w:t>
            </w:r>
          </w:p>
        </w:tc>
        <w:tc>
          <w:tcPr>
            <w:tcW w:w="25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円</w:t>
            </w:r>
          </w:p>
        </w:tc>
        <w:tc>
          <w:tcPr>
            <w:tcW w:w="2727" w:type="dxa"/>
            <w:vAlign w:val="center"/>
          </w:tcPr>
          <w:p>
            <w:pPr>
              <w:pStyle w:val="0"/>
              <w:jc w:val="right"/>
              <w:rPr>
                <w:rFonts w:hint="eastAsia"/>
              </w:rPr>
            </w:pPr>
            <w:r>
              <w:rPr>
                <w:rFonts w:hint="eastAsia"/>
              </w:rPr>
              <w:t>円</w:t>
            </w:r>
          </w:p>
        </w:tc>
      </w:tr>
    </w:tbl>
    <w:p>
      <w:pPr>
        <w:pStyle w:val="0"/>
        <w:spacing w:line="360" w:lineRule="auto"/>
        <w:rPr>
          <w:rFonts w:hint="eastAsia"/>
        </w:rPr>
      </w:pPr>
      <w:r>
        <w:rPr>
          <w:rFonts w:hint="eastAsia"/>
        </w:rPr>
        <w:t>　　②の使用例：確定申告で分離課税した配当所得を住民税では総合課税で申告する場合</w:t>
      </w:r>
    </w:p>
    <w:p>
      <w:pPr>
        <w:pStyle w:val="0"/>
        <w:spacing w:line="360" w:lineRule="auto"/>
        <w:ind w:firstLine="210" w:firstLineChars="100"/>
        <w:rPr>
          <w:rFonts w:hint="eastAsia"/>
        </w:rPr>
      </w:pPr>
      <w:r>
        <w:rPr>
          <w:rFonts w:hint="eastAsia"/>
        </w:rPr>
        <w:t>※「住民税の源泉徴収税額」＝配当割額、株式等譲渡所得割額</w:t>
      </w:r>
    </w:p>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137160</wp:posOffset>
                </wp:positionH>
                <wp:positionV relativeFrom="paragraph">
                  <wp:posOffset>43180</wp:posOffset>
                </wp:positionV>
                <wp:extent cx="6393180" cy="18821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393180" cy="1882140"/>
                        </a:xfrm>
                        <a:prstGeom prst="rect">
                          <a:avLst/>
                        </a:prstGeom>
                        <a:solidFill>
                          <a:srgbClr val="FFFFFF"/>
                        </a:solidFill>
                        <a:ln w="9525" cmpd="sng">
                          <a:solidFill>
                            <a:schemeClr val="tx1"/>
                          </a:solidFill>
                          <a:prstDash val="lgDashDot"/>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●この付表の提出期限は、当該年度の納税通知書が送達される日までとなります。</w:t>
                            </w:r>
                          </w:p>
                          <w:p>
                            <w:pPr>
                              <w:pStyle w:val="0"/>
                              <w:rPr>
                                <w:rFonts w:hint="eastAsia"/>
                              </w:rPr>
                            </w:pPr>
                            <w:r>
                              <w:rPr>
                                <w:rFonts w:hint="eastAsia"/>
                              </w:rPr>
                              <w:t>●提出の際は次の書類を添付してください。</w:t>
                            </w:r>
                          </w:p>
                          <w:p>
                            <w:pPr>
                              <w:pStyle w:val="0"/>
                              <w:ind w:firstLine="210" w:firstLineChars="100"/>
                              <w:rPr>
                                <w:rFonts w:hint="eastAsia"/>
                              </w:rPr>
                            </w:pPr>
                            <w:r>
                              <w:rPr>
                                <w:rFonts w:hint="eastAsia"/>
                              </w:rPr>
                              <w:t>①市民税・県民税申告書</w:t>
                            </w:r>
                          </w:p>
                          <w:p>
                            <w:pPr>
                              <w:pStyle w:val="0"/>
                              <w:ind w:firstLine="210" w:firstLineChars="100"/>
                              <w:rPr>
                                <w:rFonts w:hint="eastAsia"/>
                              </w:rPr>
                            </w:pPr>
                            <w:r>
                              <w:rPr>
                                <w:rFonts w:hint="eastAsia"/>
                              </w:rPr>
                              <w:t>②確定申告書の控えの写し（一式）</w:t>
                            </w:r>
                          </w:p>
                          <w:p>
                            <w:pPr>
                              <w:pStyle w:val="0"/>
                              <w:ind w:firstLine="210" w:firstLineChars="100"/>
                              <w:rPr>
                                <w:rFonts w:hint="eastAsia"/>
                              </w:rPr>
                            </w:pPr>
                            <w:r>
                              <w:rPr>
                                <w:rFonts w:hint="eastAsia"/>
                              </w:rPr>
                              <w:t>③上場株式等の配当等に関する書類の写し（上場株式等の配当所得等がある方のみ）</w:t>
                            </w:r>
                          </w:p>
                          <w:p>
                            <w:pPr>
                              <w:pStyle w:val="0"/>
                              <w:rPr>
                                <w:rFonts w:hint="eastAsia"/>
                              </w:rPr>
                            </w:pPr>
                            <w:r>
                              <w:rPr>
                                <w:rFonts w:hint="eastAsia"/>
                              </w:rPr>
                              <w:t>　　（例）上場株式配当等の支払通知書、特定口座年間取引報告書など</w:t>
                            </w:r>
                          </w:p>
                          <w:p>
                            <w:pPr>
                              <w:pStyle w:val="0"/>
                              <w:ind w:firstLine="210" w:firstLineChars="100"/>
                              <w:rPr>
                                <w:rFonts w:hint="eastAsia"/>
                              </w:rPr>
                            </w:pPr>
                            <w:r>
                              <w:rPr>
                                <w:rFonts w:hint="eastAsia"/>
                              </w:rPr>
                              <w:t>④上場株式等の譲渡所得等に関する書類の写し（上場株式等の譲渡所得等がある方のみ）</w:t>
                            </w:r>
                          </w:p>
                          <w:p>
                            <w:pPr>
                              <w:pStyle w:val="0"/>
                              <w:rPr>
                                <w:rFonts w:hint="eastAsia"/>
                              </w:rPr>
                            </w:pPr>
                            <w:r>
                              <w:rPr>
                                <w:rFonts w:hint="eastAsia"/>
                              </w:rPr>
                              <w:t>　　（例）特定口座年間取引報告書、株式等に係る譲渡所得等の金額の計算明細書など</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4pt;mso-position-vertical-relative:text;mso-position-horizontal-relative:text;position:absolute;height:148.19pt;mso-wrap-distance-top:0pt;width:503.4pt;mso-wrap-distance-left:5.65pt;margin-left:10.8pt;z-index:2;" o:spid="_x0000_s1027" o:allowincell="t" o:allowoverlap="t" filled="t" fillcolor="#ffffff" stroked="t" strokecolor="#000000 [3213]" strokeweight="0.75pt" o:spt="202" type="#_x0000_t202">
                <v:fill/>
                <v:stroke linestyle="single" dashstyle="longdashdot" filltype="solid"/>
                <v:textbox style="layout-flow:horizontal;" inset="2.0637499999999998mm,0.24694444444444438mm,2.0637499999999998mm,0.24694444444444438mm">
                  <w:txbxContent>
                    <w:p>
                      <w:pPr>
                        <w:pStyle w:val="0"/>
                        <w:rPr>
                          <w:rFonts w:hint="eastAsia"/>
                        </w:rPr>
                      </w:pPr>
                      <w:r>
                        <w:rPr>
                          <w:rFonts w:hint="eastAsia"/>
                        </w:rPr>
                        <w:t>●この付表の提出期限は、当該年度の納税通知書が送達される日までとなります。</w:t>
                      </w:r>
                    </w:p>
                    <w:p>
                      <w:pPr>
                        <w:pStyle w:val="0"/>
                        <w:rPr>
                          <w:rFonts w:hint="eastAsia"/>
                        </w:rPr>
                      </w:pPr>
                      <w:r>
                        <w:rPr>
                          <w:rFonts w:hint="eastAsia"/>
                        </w:rPr>
                        <w:t>●提出の際は次の書類を添付してください。</w:t>
                      </w:r>
                    </w:p>
                    <w:p>
                      <w:pPr>
                        <w:pStyle w:val="0"/>
                        <w:ind w:firstLine="210" w:firstLineChars="100"/>
                        <w:rPr>
                          <w:rFonts w:hint="eastAsia"/>
                        </w:rPr>
                      </w:pPr>
                      <w:r>
                        <w:rPr>
                          <w:rFonts w:hint="eastAsia"/>
                        </w:rPr>
                        <w:t>①市民税・県民税申告書</w:t>
                      </w:r>
                    </w:p>
                    <w:p>
                      <w:pPr>
                        <w:pStyle w:val="0"/>
                        <w:ind w:firstLine="210" w:firstLineChars="100"/>
                        <w:rPr>
                          <w:rFonts w:hint="eastAsia"/>
                        </w:rPr>
                      </w:pPr>
                      <w:r>
                        <w:rPr>
                          <w:rFonts w:hint="eastAsia"/>
                        </w:rPr>
                        <w:t>②確定申告書の控えの写し（一式）</w:t>
                      </w:r>
                    </w:p>
                    <w:p>
                      <w:pPr>
                        <w:pStyle w:val="0"/>
                        <w:ind w:firstLine="210" w:firstLineChars="100"/>
                        <w:rPr>
                          <w:rFonts w:hint="eastAsia"/>
                        </w:rPr>
                      </w:pPr>
                      <w:r>
                        <w:rPr>
                          <w:rFonts w:hint="eastAsia"/>
                        </w:rPr>
                        <w:t>③上場株式等の配当等に関する書類の写し（上場株式等の配当所得等がある方のみ）</w:t>
                      </w:r>
                    </w:p>
                    <w:p>
                      <w:pPr>
                        <w:pStyle w:val="0"/>
                        <w:rPr>
                          <w:rFonts w:hint="eastAsia"/>
                        </w:rPr>
                      </w:pPr>
                      <w:r>
                        <w:rPr>
                          <w:rFonts w:hint="eastAsia"/>
                        </w:rPr>
                        <w:t>　　（例）上場株式配当等の支払通知書、特定口座年間取引報告書など</w:t>
                      </w:r>
                    </w:p>
                    <w:p>
                      <w:pPr>
                        <w:pStyle w:val="0"/>
                        <w:ind w:firstLine="210" w:firstLineChars="100"/>
                        <w:rPr>
                          <w:rFonts w:hint="eastAsia"/>
                        </w:rPr>
                      </w:pPr>
                      <w:r>
                        <w:rPr>
                          <w:rFonts w:hint="eastAsia"/>
                        </w:rPr>
                        <w:t>④上場株式等の譲渡所得等に関する書類の写し（上場株式等の譲渡所得等がある方のみ）</w:t>
                      </w:r>
                    </w:p>
                    <w:p>
                      <w:pPr>
                        <w:pStyle w:val="0"/>
                        <w:rPr>
                          <w:rFonts w:hint="eastAsia"/>
                        </w:rPr>
                      </w:pPr>
                      <w:r>
                        <w:rPr>
                          <w:rFonts w:hint="eastAsia"/>
                        </w:rPr>
                        <w:t>　　（例）特定口座年間取引報告書、株式等に係る譲渡所得等の金額の計算明細書など</w:t>
                      </w:r>
                    </w:p>
                    <w:p>
                      <w:pPr>
                        <w:pStyle w:val="0"/>
                        <w:rPr>
                          <w:rFonts w:hint="eastAsia"/>
                        </w:rPr>
                      </w:pPr>
                    </w:p>
                  </w:txbxContent>
                </v:textbox>
                <v:imagedata o:title=""/>
                <w10:wrap type="none" anchorx="text" anchory="text"/>
              </v:shape>
            </w:pict>
          </mc:Fallback>
        </mc:AlternateContent>
      </w:r>
      <w:r>
        <w:rPr>
          <w:rFonts w:hint="eastAsia"/>
        </w:rPr>
        <w:br w:type="page"/>
      </w:r>
    </w:p>
    <w:p>
      <w:pPr>
        <w:pStyle w:val="0"/>
        <w:rPr>
          <w:rFonts w:hint="eastAsia"/>
        </w:rPr>
      </w:pPr>
      <w:r>
        <w:rPr>
          <w:rFonts w:hint="eastAsia"/>
        </w:rPr>
        <w:t>留意事項</w:t>
      </w:r>
    </w:p>
    <w:p>
      <w:pPr>
        <w:pStyle w:val="0"/>
        <w:ind w:left="630" w:hanging="630" w:hangingChars="300"/>
        <w:rPr>
          <w:rFonts w:hint="eastAsia"/>
        </w:rPr>
      </w:pPr>
      <w:r>
        <w:rPr>
          <w:rFonts w:hint="eastAsia"/>
        </w:rPr>
        <w:t>（１）所得税及び住民税が源泉徴収される特定口座（以下、「源泉徴収口座」という。）における上場株式等の譲渡所得等・配当所得等</w:t>
      </w:r>
    </w:p>
    <w:p>
      <w:pPr>
        <w:pStyle w:val="0"/>
        <w:spacing w:before="240" w:beforeLines="0" w:beforeAutospacing="0"/>
        <w:ind w:left="840" w:leftChars="300" w:hanging="210" w:hangingChars="100"/>
        <w:rPr>
          <w:rFonts w:hint="eastAsia"/>
        </w:rPr>
      </w:pPr>
      <w:r>
        <w:rPr>
          <w:rFonts w:hint="eastAsia"/>
        </w:rPr>
        <w:t>①源泉徴収口座における上場株式等の譲渡所得等又は配当所得等を申告するかどうかは口座ごとに選択できます（１回の譲渡ごと、１回に支払を受ける上場株式等の配当等ごとの選択はできません）。</w:t>
      </w:r>
    </w:p>
    <w:p>
      <w:pPr>
        <w:pStyle w:val="0"/>
        <w:spacing w:before="240" w:beforeLines="0" w:beforeAutospacing="0"/>
        <w:ind w:left="840" w:leftChars="300" w:hanging="210" w:hangingChars="100"/>
        <w:rPr>
          <w:rFonts w:hint="eastAsia"/>
        </w:rPr>
      </w:pPr>
      <w:r>
        <w:rPr>
          <w:rFonts w:hint="eastAsia"/>
        </w:rPr>
        <w:t>②源泉徴収口座における上場株式等の譲渡所得等とその源泉徴収口座に受け入れた配当所得等のいずれかのみを申告することができます。ただし、源泉徴収口座の譲渡損失の金額を申告する場合は、その源泉徴収口座の配当所得等の金額も併せて申告しなければなりません。</w:t>
      </w:r>
    </w:p>
    <w:p>
      <w:pPr>
        <w:pStyle w:val="0"/>
        <w:spacing w:before="240" w:beforeLines="0" w:beforeAutospacing="0"/>
        <w:ind w:left="840" w:leftChars="300" w:hanging="210" w:hangingChars="100"/>
        <w:rPr>
          <w:rFonts w:hint="eastAsia"/>
        </w:rPr>
      </w:pPr>
      <w:r>
        <w:rPr>
          <w:rFonts w:hint="eastAsia"/>
        </w:rPr>
        <w:t>③源泉徴収口座における上場株式等の譲渡所得等又は配当所得等を申告した後に、その源泉徴収口座における上場株式等の譲渡所得等又は配当所得等を申告しないこととする変更はできません。</w:t>
      </w:r>
    </w:p>
    <w:p>
      <w:pPr>
        <w:pStyle w:val="0"/>
        <w:ind w:left="840" w:leftChars="400" w:firstLineChars="0"/>
        <w:rPr>
          <w:rFonts w:hint="eastAsia"/>
        </w:rPr>
      </w:pPr>
      <w:r>
        <w:rPr>
          <w:rFonts w:hint="eastAsia"/>
        </w:rPr>
        <w:t>また、源泉徴収口座における上場株式等の譲渡所得等又は配当所得等の金額を含めないで申告した後に、その源泉徴収口座における上場株式等の譲渡所得等又は配当所得等を申告することとする変更もできません。</w:t>
      </w:r>
    </w:p>
    <w:p>
      <w:pPr>
        <w:pStyle w:val="0"/>
        <w:rPr>
          <w:rFonts w:hint="eastAsia"/>
        </w:rPr>
      </w:pPr>
    </w:p>
    <w:p>
      <w:pPr>
        <w:pStyle w:val="0"/>
        <w:ind w:left="630" w:hanging="630" w:hangingChars="300"/>
        <w:rPr>
          <w:rFonts w:hint="eastAsia"/>
        </w:rPr>
      </w:pPr>
      <w:r>
        <w:rPr>
          <w:rFonts w:hint="eastAsia"/>
        </w:rPr>
        <w:t>（２）所得税及び住民税が源泉徴収されない特定口座（以下、「簡易申告口座」という。）又は一般口座における上場株式等の譲渡所得等・配当所得等</w:t>
      </w:r>
    </w:p>
    <w:p>
      <w:pPr>
        <w:pStyle w:val="0"/>
        <w:spacing w:before="240" w:beforeLines="0" w:beforeAutospacing="0"/>
        <w:ind w:left="840" w:leftChars="300" w:hanging="210" w:hangingChars="100"/>
        <w:rPr>
          <w:rFonts w:hint="eastAsia"/>
        </w:rPr>
      </w:pPr>
      <w:r>
        <w:rPr>
          <w:rFonts w:hint="eastAsia"/>
        </w:rPr>
        <w:t>①簡易申告口座又は一般口座における上場株式等の譲渡所得等は、申告不要制度を選択することはできません。</w:t>
      </w:r>
    </w:p>
    <w:p>
      <w:pPr>
        <w:pStyle w:val="0"/>
        <w:spacing w:before="240" w:beforeLines="0" w:beforeAutospacing="0"/>
        <w:ind w:left="840" w:leftChars="300" w:hanging="210" w:hangingChars="100"/>
        <w:rPr>
          <w:rFonts w:hint="eastAsia"/>
        </w:rPr>
      </w:pPr>
      <w:r>
        <w:rPr>
          <w:rFonts w:hint="eastAsia"/>
        </w:rPr>
        <w:t>②源泉徴収口座以外において生じた上場株式等の配当所得等で所得税及び住民税が源泉徴収されている配当等は、１回に支払を受けるべき配当等の額ごとに課税方式を選択できます。</w:t>
      </w:r>
    </w:p>
    <w:p>
      <w:pPr>
        <w:pStyle w:val="0"/>
        <w:rPr>
          <w:rFonts w:hint="eastAsia"/>
        </w:rPr>
      </w:pPr>
    </w:p>
    <w:p>
      <w:pPr>
        <w:pStyle w:val="0"/>
        <w:rPr>
          <w:rFonts w:hint="eastAsia"/>
        </w:rPr>
      </w:pPr>
      <w:r>
        <w:rPr>
          <w:rFonts w:hint="eastAsia"/>
        </w:rPr>
        <w:t>（３）大口株主等に支払われる上場株式等の配当所得等及び未公開株式等の配当所得等</w:t>
      </w:r>
    </w:p>
    <w:p>
      <w:pPr>
        <w:pStyle w:val="0"/>
        <w:ind w:left="630" w:leftChars="300" w:firstLine="0" w:firstLineChars="0"/>
        <w:rPr>
          <w:rFonts w:hint="eastAsia"/>
        </w:rPr>
      </w:pPr>
      <w:r>
        <w:rPr>
          <w:rFonts w:hint="eastAsia"/>
          <w:u w:val="single" w:color="auto"/>
        </w:rPr>
        <w:t>所得税が</w:t>
      </w:r>
      <w:r>
        <w:rPr>
          <w:rFonts w:hint="eastAsia"/>
          <w:u w:val="single" w:color="auto"/>
        </w:rPr>
        <w:t>20.42</w:t>
      </w:r>
      <w:r>
        <w:rPr>
          <w:rFonts w:hint="eastAsia"/>
          <w:u w:val="single" w:color="auto"/>
        </w:rPr>
        <w:t>％</w:t>
      </w:r>
      <w:r>
        <w:rPr>
          <w:rFonts w:hint="eastAsia"/>
        </w:rPr>
        <w:t>で源泉徴収されている大口株主等に支払われる上場株式等の配当等や未公開株式等の配当等は、必ず</w:t>
      </w:r>
      <w:r>
        <w:rPr>
          <w:rFonts w:hint="eastAsia"/>
          <w:u w:val="single" w:color="auto"/>
        </w:rPr>
        <w:t>総合課税</w:t>
      </w:r>
      <w:r>
        <w:rPr>
          <w:rFonts w:hint="eastAsia"/>
        </w:rPr>
        <w:t>で市民税・県民税の申告をしなければなりません（申告不要制度や分離課税での申告を選択することはできません）。ただし、確定申告において申告している場合は、市民税・県民税の申告書を提出する必要はありません。</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wrap="square"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2</Pages>
  <Words>7</Words>
  <Characters>1360</Characters>
  <Application>JUST Note</Application>
  <Lines>200</Lines>
  <Paragraphs>53</Paragraphs>
  <Company>johointra</Company>
  <CharactersWithSpaces>1397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jviduser109</dc:creator>
  <cp:lastModifiedBy>vdi150</cp:lastModifiedBy>
  <cp:lastPrinted>2021-02-22T07:48:32Z</cp:lastPrinted>
  <dcterms:created xsi:type="dcterms:W3CDTF">2020-12-21T01:06:00Z</dcterms:created>
  <dcterms:modified xsi:type="dcterms:W3CDTF">2021-02-22T07:54:15Z</dcterms:modified>
  <cp:revision>7</cp:revision>
</cp:coreProperties>
</file>